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2-ГО ПОНЫРОВСКОГО СЕЛЬСОВЕТА</w:t>
      </w: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исаревка, д-10 тел.(8-47135) 3-33-19</w:t>
      </w: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3C0F" w:rsidRDefault="00443C0F" w:rsidP="00443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C0F" w:rsidRDefault="00443C0F" w:rsidP="00443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с.2-Поныри</w:t>
      </w:r>
    </w:p>
    <w:p w:rsidR="00443C0F" w:rsidRDefault="00443C0F" w:rsidP="004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28.06.2018 г.                                       № 31</w:t>
      </w:r>
    </w:p>
    <w:p w:rsidR="00443C0F" w:rsidRDefault="00443C0F" w:rsidP="0044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0F" w:rsidRDefault="00443C0F" w:rsidP="00443C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оценки эффективности</w:t>
      </w:r>
    </w:p>
    <w:p w:rsidR="00443C0F" w:rsidRDefault="00443C0F" w:rsidP="00443C0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(планируемых к предоставлению)</w:t>
      </w:r>
    </w:p>
    <w:p w:rsidR="00443C0F" w:rsidRDefault="00443C0F" w:rsidP="00443C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льгот»</w:t>
      </w:r>
    </w:p>
    <w:p w:rsidR="00443C0F" w:rsidRDefault="00443C0F" w:rsidP="00443C0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443C0F" w:rsidRDefault="00443C0F" w:rsidP="00443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предоставляемых и планируемых к предоставлению налоговых льгот  2-го Поныровского  сельсовета Поныровского района Курской области, в соответствии с Уставом муниципального образования «2-й Поныровский    сельсовет» Поныровского района Курской области, Администрация 2-го Поныровского  сельсовета Поныровского района Курской области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оценки эффективности предоставляемых (планируемых к предоставлению)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Администрации  2-го Поныровского  сельсовета Поныровского района Курской области обеспечить проведение ежегодной оценки эффективности предоставляемых и планируемых к предоставлению  налоговых льгот в соответствии с Порядком оценки эффективности предоставляемых (планируемых к предоставлению) налоговых льгот, утвержденным пунктом 1 настоящего постановления.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 за  собой</w:t>
      </w:r>
    </w:p>
    <w:p w:rsidR="00443C0F" w:rsidRDefault="00443C0F" w:rsidP="00443C0F">
      <w:pPr>
        <w:tabs>
          <w:tab w:val="left" w:pos="1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2-го Поныровского сельсовета  </w:t>
      </w: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района                                                                       Ю.А.Ломакин</w:t>
      </w: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Подлинный документ храниться в делах администрации 2-го Поныровского сельсовета  Поныровского района Курской области.</w:t>
      </w:r>
    </w:p>
    <w:p w:rsidR="00443C0F" w:rsidRDefault="00443C0F" w:rsidP="00443C0F">
      <w:pPr>
        <w:tabs>
          <w:tab w:val="left" w:pos="31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2-го Поныровского сельсовета  </w:t>
      </w:r>
    </w:p>
    <w:p w:rsidR="00443C0F" w:rsidRDefault="00443C0F" w:rsidP="00443C0F">
      <w:pPr>
        <w:pStyle w:val="a6"/>
        <w:tabs>
          <w:tab w:val="left" w:pos="11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района                                                                       Ю.А.Ломакин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ОЦЕНКИ ЭФФЕКТИВНОСТИ ПРЕДОСТАВЛЯЕМЫХ (ПЛАНИРУЕМЫХ К ПРЕДОСТАВЛЕНИЮ) НАЛОГОВЫХ ЛЬГОТ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процедуру проведения оценки бюджетной и (или) социальной эффективности региональных налоговых льгот, состав исполнителей, а также требования к реализации результатов оценки.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 </w:t>
      </w:r>
      <w:hyperlink r:id="rId4" w:tgtFrame="_blank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ставки</w:t>
        </w:r>
      </w:hyperlink>
      <w:r>
        <w:rPr>
          <w:rFonts w:ascii="Times New Roman" w:hAnsi="Times New Roman" w:cs="Times New Roman"/>
          <w:sz w:val="24"/>
          <w:szCs w:val="24"/>
        </w:rPr>
        <w:t> налогов, установленные решениями Собрания депутатов 2-го Поныровского  сельсовета Поныровского района Курской области в соответствии с федеральным налоговым законодательством.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предоставления налоговых льгот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  2-го Поныровского  сельсовета  Поныровского района Курской области являются: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потерь бюджета 2-го Поныровского  сельсовета Поныровского района Курской области, связанных с предоставлением налоговых льгот;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деятельности в регионе;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социальной политики в сфере занятости населения.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 бюджетной эффективностью предоставления налоговых льгот понимаются полученные (или планируемые к получению) налоговые поступления в бюджет 2-го Поныровского  сельсовета Поныровского района Курской области, которые связаны с использованием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сумма бюджетного эффекта от предоставляемых (планируемых к предоставлению) налоговых льгот превышает сумму или равняется сумме предоставленных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сумма бюджетного эффекта от предоставляемых (планируемых к предоставлению) налоговых льгот меньше суммы предоставленных (планируемых к предоставлению) налоговых льгот, это означает низкую финансовую эффективность оцениваемых  налоговых льгот.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района.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43C0F" w:rsidRDefault="00443C0F" w:rsidP="00443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проведения оценки эффективности предоставления налоговых льгот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Оценка эффективности предоставляемых налоговых льгот проводится ежегодно управлением по бюджету и налогам Администрации 2-го Поныровского  сельсовета Поныровского района Курской области по итогам прошедшего (отчетного) финансового года в разрезе видов налогов и по каждой категории налогоплательщиков.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оценки используются данные статистической и финансовой отчетности, иной информации структурных подразделений Администрации 2-го Поныровского  сельсовета Поныро</w:t>
      </w:r>
      <w:r w:rsidR="005F4F09">
        <w:rPr>
          <w:rFonts w:ascii="Times New Roman" w:hAnsi="Times New Roman" w:cs="Times New Roman"/>
          <w:sz w:val="24"/>
          <w:szCs w:val="24"/>
        </w:rPr>
        <w:t>вского района Курской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налогоплательщиков, получающих или претендующих на получение налоговых льгот, а также данные налоговой отчетности и иной информации, не составляющей налоговую тайну.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Оценка эффективности предоставляемых налоговых льгот осуществляется в три этапа: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первом этапе производится учет (инвентаризация) предоставленных решениями Собрания   депутатов  2-го Поныровского  сельсовета Поныровского района Курской области налоговых льгот;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втором этапе определяется сумма потерь (сумма недополученных доходов) бюджета 2-го Поныровского  сельсовета Поныровского района Курской области, обусловленных предоставлением налоговых льгот;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третьем этапе производится сопоставление суммы потерь (суммы недополученных доходов) бюджета 2-го Поныровского  сельсовета Поныровского района Курской области, обусловленных предоставлением налоговых льгот, с суммами бюджетного эффекта от предоставления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 учетом полученных сведений и другой имеющейся информации Администрации 2-го Поныровского  сельсовета Поныровского района Курской области проводится анализ, формируются сводные показатели в разрезе категорий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осуществляется расчет бюджетного эффекта от предоставления налоговых льгот по формуле: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 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   н-1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БЭ = СН  - СН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  ,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БЭ - сумма бюджетного эффекта от предоставления налоговых льгот по соответствующей 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 СН  - сумма уплаченных налогов в  консолидированный бюджет Поныровского района за последний отчетный год по соответствующей категории  налогоплательщиков, получивших налоговые льготы;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 н-1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СН    - сумма уплаченных налогов в консолидированный бюджет Поныровского района за год, предшествующий последнему отчетному году, по соответствующей категории налогоплательщиков, получивших налоговые льготы.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Оценка бюджетной эффективности налоговых льгот рассчитывается по формуле: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ОБЭ = БЭ - СЛ,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  <w:r>
        <w:rPr>
          <w:rFonts w:ascii="Times New Roman" w:hAnsi="Times New Roman" w:cs="Times New Roman"/>
          <w:sz w:val="24"/>
          <w:szCs w:val="24"/>
        </w:rPr>
        <w:br/>
        <w:t>ОБЭ - оценка бюджетной эффективности предоставляемых налоговых льгот по соответствующей 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 - сумма налоговых льгот предоставляемых соответствующей категории налогоплательщиков за последний отчетный год.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ОБЭ &gt;= 0 налоговая льгота по соответствующей категории налогоплательщиков признается эффективной.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внесения новых проектов решений Собрания  депутатов2-го Поныровского  сельсовета Поныровского района Курской области, предусматривающих установление налоговых льгот, оценка эффективности планируемых к предоставлению налоговых льгот осуществляется субъектами права законодательной инициативы по соответствующей категории налогоплательщиков.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 определению бюджетного эффекта планируемых к предоставлению налоговых льгот осуществляется по формулам: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вступлении в силу решения Собрания  депутатов  2-го Поныровского  сельсовета Поныровского района Курской области о предоставлении  налоговых льгот с 1-го числа очередного налогового периода по соответствующему налогу: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   т+1     т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БЭ   = СН    - СН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БЭ   - ожидаемая сумма бюджетного эффекта от планируемого предоставления налоговых льгот по соответствующей  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т+1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СН    - прогнозируемая  сумма поступлений  налогов в   бюджет  2-го Поныровского  сельсовета Поныровского района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 на  очередной  финансовый  год,   с  которого планируется предоставление льготы, по соответствующей 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т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СН  - ожидаемая сумма поступлений налогов в бюджет 2-го Поныровского  сельсовета Поныровского района Курской области за текущий финансовый год по соответствующей 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б) при вступлении в силу решения Собрания депутатов 2-го Поныровского  сельсовета Поныровского района Курской области о предоставлении  налоговых льгот с 1-го числа текущего налогового периода по соответствующему налогу: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      т       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                                                                                                                 БЭ   = СН  - СН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формуле: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  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                  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ОБЭ   = БЭ   - СЛ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 ,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  <w:r>
        <w:rPr>
          <w:rFonts w:ascii="Times New Roman" w:hAnsi="Times New Roman" w:cs="Times New Roman"/>
          <w:sz w:val="24"/>
          <w:szCs w:val="24"/>
        </w:rPr>
        <w:br/>
        <w:t>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     ОБЭ   - ожидаемая оценка бюджетной эффективности планируемых к предоставлению налоговых льгот по соответствующей категории налогоплательщиков;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br/>
        <w:t>    СЛ   - прогнозируемая сумма налоговых льгот, планируемых к предоставлению соответствующей категории налогоплательщиков.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 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       При значении ОБЭ &gt;= 0  планируемая к предоставлению налоговая льгота по соответствующей категории налогоплательщиков признается эффективной.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br/>
        <w:t>          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значении ОБЭ   &lt; 0 планируемая к предоставлению налоговая льгота по соответствующей категории налогоплательщиков признается неэффективной.    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финансово-экономическое обоснование к проекту решения Собрания депутатов 2-го Поныровского  сельсовета Поныровского района Курской области, предусматривающему установление налоговых льгот, включаются расчеты по определению бюджетного эффекта и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к предоставлению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 2-го Поныровского  сельсовета Поныровского района Курской области по соответствующей категории налогоплательщиков (приложение N 1 к настоящему Порядку), результаты оценки бюджетной эффективности предоставляемых (планируемых к предоставлению) налоговых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льгот по конкретному виду налога и соответствующей категории налогоплательщиков (приложение N 2 к настоящему Порядку).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отношении групп населения (физических лиц, не являющихся предпринимателями без образования юридического лица), а также некоммерческих организаций вместо оценки бюджетной эффективности налоговых льгот Администрацией 2-го Поныровского  сельсовета Поныровского района Курской области осуществляется оценка социальной эффективности предоставления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езультате оптимизации расходов  бюджета 2-го Поныровского  сельсовета Поныровского района Курской области.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  2-го Поныровского  сельсовета Поныровского района  Курской области осуществляет подготовку информации о результатах оценки бюджетной и социальной эффективности предоставляемых налоговых льгот (приложение N 3 к настоящему Порядку), которая до 25 октября текущего финансового года.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о результатах оценки бюджетной и социальной эффективности предоставляемых налоговых льгот до рассмотрения Администрацией 2-го Поныровского  сельсовета Поныровского района Курской области не подлежит разглашению (распространению).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2-го Поныровского  сельсовета Поныровского района Курской области рассматривает представленную сводную информацию и при установлении фактов неэффективного предоставления налоговых льгот поручает осуществить подготовку проектов решений Собрания  депутатов  2-го Поныровского  сельсовета Поныровского района Курской области об отмене неэффективных налоговых льгот для внесения в Собрание   депутатов  2-го Поныровского  сельсовета Поныровского района Курской области в установленном порядке.</w:t>
      </w:r>
      <w:proofErr w:type="gramEnd"/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Проекты решений Собрания  депутатов 2-го Поныровского  сельсовета Поныровского района Курской области, предусматривающие установление на территории 2-го Поныровского  сельсовета Поныровского района Курской области налоговых льгот, подлежат рассмотрению при наличии заключения об эффективности планируемых к предоставлению налоговых льгот.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Сводная информация о результатах оценки бюджетной и социальной эффективности предоставленных налоговых льгот после рассмотрения Администрацией 2-го Поныровского  сельсовета Поныровского района Курской области публикуется в средствах массовой информации, а также размещается в сети "Интернет".</w:t>
      </w:r>
    </w:p>
    <w:p w:rsidR="00443C0F" w:rsidRDefault="00443C0F" w:rsidP="00443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N1</w:t>
      </w:r>
    </w:p>
    <w:p w:rsidR="00443C0F" w:rsidRDefault="00443C0F" w:rsidP="00443C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Порядку оценки эффективности предоставляемых (планируемых</w:t>
      </w:r>
      <w:r>
        <w:rPr>
          <w:rFonts w:ascii="Times New Roman" w:hAnsi="Times New Roman" w:cs="Times New Roman"/>
          <w:bCs/>
          <w:sz w:val="24"/>
          <w:szCs w:val="24"/>
        </w:rPr>
        <w:br/>
        <w:t>к предоставлению) налоговых льгот</w:t>
      </w:r>
    </w:p>
    <w:p w:rsidR="00443C0F" w:rsidRDefault="00443C0F" w:rsidP="00443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Сведения об уплаченных (планируемых к уплате) суммах налогов в бюджет2-го Поныровского  сельсовета Поныровского района Курской области</w:t>
      </w:r>
    </w:p>
    <w:p w:rsidR="00443C0F" w:rsidRDefault="00443C0F" w:rsidP="00443C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905" w:type="dxa"/>
        <w:tblCellSpacing w:w="0" w:type="dxa"/>
        <w:tblInd w:w="-1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2268"/>
        <w:gridCol w:w="1417"/>
        <w:gridCol w:w="1274"/>
        <w:gridCol w:w="586"/>
        <w:gridCol w:w="973"/>
        <w:gridCol w:w="1558"/>
        <w:gridCol w:w="1842"/>
      </w:tblGrid>
      <w:tr w:rsidR="00443C0F" w:rsidTr="00443C0F">
        <w:trPr>
          <w:trHeight w:val="495"/>
          <w:tblCellSpacing w:w="0" w:type="dxa"/>
        </w:trPr>
        <w:tc>
          <w:tcPr>
            <w:tcW w:w="987" w:type="dxa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single" w:sz="6" w:space="0" w:color="FFFFFF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 в соответствии с решениями Представительного Собрания 2-го Поныровского  сельсовета Поныровского района Курской области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443C0F" w:rsidTr="00443C0F">
        <w:trPr>
          <w:trHeight w:val="2890"/>
          <w:tblCellSpacing w:w="0" w:type="dxa"/>
        </w:trPr>
        <w:tc>
          <w:tcPr>
            <w:tcW w:w="10911" w:type="dxa"/>
            <w:vMerge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outset" w:sz="6" w:space="0" w:color="auto"/>
              <w:left w:val="single" w:sz="6" w:space="0" w:color="FFFFFF"/>
              <w:bottom w:val="outset" w:sz="6" w:space="0" w:color="A0A0A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0A0A0"/>
              <w:right w:val="outset" w:sz="6" w:space="0" w:color="000000" w:themeColor="text1"/>
            </w:tcBorders>
            <w:shd w:val="clear" w:color="auto" w:fill="FFFFFF" w:themeFill="background1"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текущего года</w:t>
            </w:r>
          </w:p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hideMark/>
          </w:tcPr>
          <w:p w:rsidR="00443C0F" w:rsidRDefault="00443C0F">
            <w:pPr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очередного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A0A0A0"/>
              <w:right w:val="single" w:sz="4" w:space="0" w:color="auto"/>
            </w:tcBorders>
            <w:shd w:val="clear" w:color="auto" w:fill="FFFFFF" w:themeFill="background1"/>
            <w:hideMark/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планируемого года</w:t>
            </w:r>
          </w:p>
        </w:tc>
      </w:tr>
      <w:tr w:rsidR="00443C0F" w:rsidTr="00443C0F">
        <w:trPr>
          <w:tblCellSpacing w:w="0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hideMark/>
          </w:tcPr>
          <w:p w:rsidR="00443C0F" w:rsidRDefault="00443C0F">
            <w:pPr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trHeight w:val="555"/>
          <w:tblCellSpacing w:w="0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443C0F" w:rsidRDefault="00443C0F">
            <w:pPr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tblCellSpacing w:w="0" w:type="dxa"/>
        </w:trPr>
        <w:tc>
          <w:tcPr>
            <w:tcW w:w="987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443C0F" w:rsidRDefault="00443C0F">
            <w:pPr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0F" w:rsidTr="00443C0F">
        <w:trPr>
          <w:tblCellSpacing w:w="0" w:type="dxa"/>
        </w:trPr>
        <w:tc>
          <w:tcPr>
            <w:tcW w:w="6535" w:type="dxa"/>
            <w:gridSpan w:val="5"/>
            <w:tcBorders>
              <w:top w:val="outset" w:sz="6" w:space="0" w:color="000000" w:themeColor="text1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3"/>
            <w:tcBorders>
              <w:top w:val="outset" w:sz="6" w:space="0" w:color="000000" w:themeColor="text1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0F" w:rsidTr="00443C0F">
        <w:trPr>
          <w:trHeight w:val="100"/>
          <w:tblCellSpacing w:w="0" w:type="dxa"/>
        </w:trPr>
        <w:tc>
          <w:tcPr>
            <w:tcW w:w="10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 (Ф.И.О.)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 (подпись)</w:t>
      </w:r>
      <w:r>
        <w:rPr>
          <w:rFonts w:ascii="Times New Roman" w:hAnsi="Times New Roman" w:cs="Times New Roman"/>
          <w:sz w:val="24"/>
          <w:szCs w:val="24"/>
        </w:rPr>
        <w:br/>
        <w:t>Ответственное лицо (исполнитель) __________________ Тел. ___________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>
        <w:rPr>
          <w:rFonts w:ascii="Times New Roman" w:hAnsi="Times New Roman" w:cs="Times New Roman"/>
          <w:sz w:val="24"/>
          <w:szCs w:val="24"/>
        </w:rPr>
        <w:br/>
        <w:t>к Порядку оценки эффективности</w:t>
      </w:r>
      <w:r>
        <w:rPr>
          <w:rFonts w:ascii="Times New Roman" w:hAnsi="Times New Roman" w:cs="Times New Roman"/>
          <w:sz w:val="24"/>
          <w:szCs w:val="24"/>
        </w:rPr>
        <w:br/>
        <w:t>предоставляемых (планируемых к предоставлению) </w:t>
      </w:r>
      <w:r>
        <w:rPr>
          <w:rFonts w:ascii="Times New Roman" w:hAnsi="Times New Roman" w:cs="Times New Roman"/>
          <w:sz w:val="24"/>
          <w:szCs w:val="24"/>
        </w:rPr>
        <w:br/>
        <w:t>налоговых льгот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443C0F" w:rsidRDefault="00443C0F" w:rsidP="00443C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530" w:type="dxa"/>
        <w:tblCellSpacing w:w="0" w:type="dxa"/>
        <w:tblInd w:w="-1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310"/>
        <w:gridCol w:w="703"/>
        <w:gridCol w:w="110"/>
        <w:gridCol w:w="55"/>
        <w:gridCol w:w="1638"/>
        <w:gridCol w:w="12"/>
        <w:gridCol w:w="970"/>
        <w:gridCol w:w="12"/>
        <w:gridCol w:w="1810"/>
        <w:gridCol w:w="12"/>
        <w:gridCol w:w="1492"/>
        <w:gridCol w:w="12"/>
        <w:gridCol w:w="1428"/>
        <w:gridCol w:w="12"/>
        <w:gridCol w:w="1942"/>
        <w:gridCol w:w="12"/>
      </w:tblGrid>
      <w:tr w:rsidR="00443C0F" w:rsidTr="00443C0F">
        <w:trPr>
          <w:gridAfter w:val="1"/>
          <w:wAfter w:w="12" w:type="dxa"/>
          <w:tblCellSpacing w:w="0" w:type="dxa"/>
        </w:trPr>
        <w:tc>
          <w:tcPr>
            <w:tcW w:w="314" w:type="dxa"/>
            <w:vMerge w:val="restart"/>
            <w:tcBorders>
              <w:top w:val="nil"/>
              <w:left w:val="nil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 в соответствии с решением Представительного Собрания 2-го Поныровского  сельсовета Поныровского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предоставляемой (планируемой к представлению)  налоговой льготы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бюджетного эффекта от предоставления налоговой льготы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</w:t>
            </w:r>
          </w:p>
        </w:tc>
      </w:tr>
      <w:tr w:rsidR="00443C0F" w:rsidTr="00443C0F">
        <w:trPr>
          <w:gridAfter w:val="1"/>
          <w:wAfter w:w="12" w:type="dxa"/>
          <w:tblCellSpacing w:w="0" w:type="dxa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outset" w:sz="6" w:space="0" w:color="F0F0F0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C0F" w:rsidTr="00443C0F">
        <w:trPr>
          <w:gridAfter w:val="1"/>
          <w:wAfter w:w="12" w:type="dxa"/>
          <w:tblCellSpacing w:w="0" w:type="dxa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outset" w:sz="6" w:space="0" w:color="F0F0F0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After w:val="1"/>
          <w:wAfter w:w="12" w:type="dxa"/>
          <w:tblCellSpacing w:w="0" w:type="dxa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outset" w:sz="6" w:space="0" w:color="F0F0F0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After w:val="1"/>
          <w:wAfter w:w="12" w:type="dxa"/>
          <w:tblCellSpacing w:w="0" w:type="dxa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uto"/>
              <w:right w:val="outset" w:sz="6" w:space="0" w:color="F0F0F0"/>
            </w:tcBorders>
            <w:shd w:val="clear" w:color="auto" w:fill="EEEEEE"/>
            <w:vAlign w:val="center"/>
            <w:hideMark/>
          </w:tcPr>
          <w:p w:rsidR="00443C0F" w:rsidRDefault="0044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gridAfter w:val="1"/>
          <w:wBefore w:w="314" w:type="dxa"/>
          <w:wAfter w:w="12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gridAfter w:val="1"/>
          <w:wBefore w:w="314" w:type="dxa"/>
          <w:wAfter w:w="12" w:type="dxa"/>
          <w:trHeight w:val="705"/>
          <w:tblCellSpacing w:w="0" w:type="dxa"/>
        </w:trPr>
        <w:tc>
          <w:tcPr>
            <w:tcW w:w="710" w:type="dxa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702" w:type="dxa"/>
            <w:gridSpan w:val="3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gridAfter w:val="1"/>
          <w:wBefore w:w="314" w:type="dxa"/>
          <w:wAfter w:w="12" w:type="dxa"/>
          <w:trHeight w:val="645"/>
          <w:tblCellSpacing w:w="0" w:type="dxa"/>
        </w:trPr>
        <w:tc>
          <w:tcPr>
            <w:tcW w:w="710" w:type="dxa"/>
            <w:tcBorders>
              <w:top w:val="outset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21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outset" w:sz="6" w:space="0" w:color="000000" w:themeColor="text1"/>
              <w:left w:val="single" w:sz="6" w:space="0" w:color="FFFFFF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0F" w:rsidTr="00443C0F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pacing w:after="0"/>
            </w:pPr>
          </w:p>
        </w:tc>
      </w:tr>
      <w:tr w:rsidR="00443C0F" w:rsidTr="00443C0F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wBefore w:w="314" w:type="dxa"/>
          <w:trHeight w:val="600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C0F" w:rsidTr="00443C0F">
        <w:trPr>
          <w:gridBefore w:val="1"/>
          <w:wBefore w:w="314" w:type="dxa"/>
          <w:trHeight w:val="270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0F" w:rsidTr="00443C0F">
        <w:trPr>
          <w:gridBefore w:val="1"/>
          <w:wBefore w:w="314" w:type="dxa"/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C0F" w:rsidRDefault="00443C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____ год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3C0F" w:rsidRDefault="00443C0F" w:rsidP="00443C0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 (Ф.И.О.)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 (подпись)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Ответственное лицо (исполнитель) _________________________ (Ф.И.О.) Тел. ___________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tabs>
          <w:tab w:val="left" w:pos="5103"/>
        </w:tabs>
        <w:ind w:left="-426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>
        <w:rPr>
          <w:rFonts w:ascii="Times New Roman" w:hAnsi="Times New Roman" w:cs="Times New Roman"/>
          <w:sz w:val="24"/>
          <w:szCs w:val="24"/>
        </w:rPr>
        <w:br/>
        <w:t>к Порядку оценки эффективности</w:t>
      </w:r>
      <w:r>
        <w:rPr>
          <w:rFonts w:ascii="Times New Roman" w:hAnsi="Times New Roman" w:cs="Times New Roman"/>
          <w:sz w:val="24"/>
          <w:szCs w:val="24"/>
        </w:rPr>
        <w:br/>
        <w:t>предоставляемых (планируемых</w:t>
      </w:r>
      <w:r>
        <w:rPr>
          <w:rFonts w:ascii="Times New Roman" w:hAnsi="Times New Roman" w:cs="Times New Roman"/>
          <w:sz w:val="24"/>
          <w:szCs w:val="24"/>
        </w:rPr>
        <w:br/>
        <w:t>к предоставлению) </w:t>
      </w:r>
      <w:r>
        <w:rPr>
          <w:rFonts w:ascii="Times New Roman" w:hAnsi="Times New Roman" w:cs="Times New Roman"/>
          <w:sz w:val="24"/>
          <w:szCs w:val="24"/>
        </w:rPr>
        <w:br/>
        <w:t>налоговых льгот</w:t>
      </w:r>
    </w:p>
    <w:p w:rsidR="00443C0F" w:rsidRDefault="00443C0F" w:rsidP="00443C0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о результатах оценки за год ___ бюджетной и социальной эффективности предоставляемых налоговых льгот</w:t>
      </w:r>
    </w:p>
    <w:tbl>
      <w:tblPr>
        <w:tblW w:w="1000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1225"/>
        <w:gridCol w:w="1230"/>
        <w:gridCol w:w="1801"/>
        <w:gridCol w:w="1496"/>
        <w:gridCol w:w="165"/>
        <w:gridCol w:w="1379"/>
        <w:gridCol w:w="165"/>
        <w:gridCol w:w="695"/>
        <w:gridCol w:w="1333"/>
      </w:tblGrid>
      <w:tr w:rsidR="00443C0F" w:rsidTr="00443C0F">
        <w:trPr>
          <w:trHeight w:val="4095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outset" w:sz="6" w:space="0" w:color="000000" w:themeColor="text1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налога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налогоплательщиков, которым предоставлена  льгота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Представительного Собрания 2-го Поныровского  сельсовета Поныровского района Курской области, которым установлена льгота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ставки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2-го Поныровского  сельсовета Поныровского района Курской области, проводившее оценку эффективности льготы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бюджетной эффективности льготы (эффективная или неэффективная), социальной эффективности льгот</w:t>
            </w: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льготы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outset" w:sz="6" w:space="0" w:color="000000" w:themeColor="text1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структурного подразделения 2-го Поныровского  сельсовета Поныровского района Курской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оценку, о необходимости сохранения, корректировки или отмены льготы</w:t>
            </w:r>
          </w:p>
        </w:tc>
      </w:tr>
      <w:tr w:rsidR="00443C0F" w:rsidTr="00443C0F">
        <w:trPr>
          <w:trHeight w:val="719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0F" w:rsidTr="00443C0F">
        <w:trPr>
          <w:trHeight w:val="885"/>
          <w:tblCellSpacing w:w="0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outset" w:sz="6" w:space="0" w:color="000000" w:themeColor="text1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43C0F" w:rsidRDefault="00443C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</w:p>
    <w:p w:rsidR="00443C0F" w:rsidRDefault="00443C0F" w:rsidP="00443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 (Ф.И.О.)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 (подпись)</w:t>
      </w:r>
      <w:r>
        <w:rPr>
          <w:rFonts w:ascii="Times New Roman" w:hAnsi="Times New Roman" w:cs="Times New Roman"/>
          <w:sz w:val="24"/>
          <w:szCs w:val="24"/>
        </w:rPr>
        <w:br/>
        <w:t>Ответственное лицо (исполнитель) _________________________ (Ф.И.О.) Тел. ___________</w:t>
      </w:r>
    </w:p>
    <w:p w:rsidR="00F823D5" w:rsidRDefault="00F823D5"/>
    <w:sectPr w:rsidR="00F823D5" w:rsidSect="003A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C0F"/>
    <w:rsid w:val="003A4196"/>
    <w:rsid w:val="00443C0F"/>
    <w:rsid w:val="005F4F09"/>
    <w:rsid w:val="00F8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C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443C0F"/>
  </w:style>
  <w:style w:type="paragraph" w:styleId="a5">
    <w:name w:val="No Spacing"/>
    <w:link w:val="a4"/>
    <w:qFormat/>
    <w:rsid w:val="00443C0F"/>
    <w:pPr>
      <w:spacing w:after="0" w:line="240" w:lineRule="auto"/>
    </w:pPr>
  </w:style>
  <w:style w:type="paragraph" w:styleId="a6">
    <w:name w:val="List Paragraph"/>
    <w:basedOn w:val="a"/>
    <w:qFormat/>
    <w:rsid w:val="00443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sedino.rkursk.ru/index.php?mun_obr=193&amp;sub_menus_id=14240&amp;num_str=1&amp;id_mat=170667" TargetMode="External"/><Relationship Id="rId4" Type="http://schemas.openxmlformats.org/officeDocument/2006/relationships/hyperlink" Target="http://besedino.rkursk.ru/index.php?mun_obr=193&amp;sub_menus_id=14240&amp;num_str=1&amp;id_mat=17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2482</Words>
  <Characters>14151</Characters>
  <Application>Microsoft Office Word</Application>
  <DocSecurity>0</DocSecurity>
  <Lines>117</Lines>
  <Paragraphs>33</Paragraphs>
  <ScaleCrop>false</ScaleCrop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2018-08-15T08:08:00Z</dcterms:created>
  <dcterms:modified xsi:type="dcterms:W3CDTF">2018-08-15T12:45:00Z</dcterms:modified>
</cp:coreProperties>
</file>